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Ответы на вопросы чата от 25.04.2024 г.</w:t>
      </w:r>
    </w:p>
    <w:tbl>
      <w:tblPr>
        <w:tblStyle w:val="3"/>
        <w:tblW w:w="11318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5208"/>
        <w:gridCol w:w="53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47" w:type="dxa"/>
          </w:tcPr>
          <w:p>
            <w:pPr>
              <w:spacing w:after="0" w:line="276" w:lineRule="auto"/>
              <w:ind w:left="-106" w:firstLine="106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208" w:type="dxa"/>
            <w:shd w:val="clear" w:color="auto" w:fill="auto"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ВОПРОСЫ</w:t>
            </w:r>
          </w:p>
        </w:tc>
        <w:tc>
          <w:tcPr>
            <w:tcW w:w="5363" w:type="dxa"/>
            <w:vAlign w:val="center"/>
          </w:tcPr>
          <w:p>
            <w:pP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ОТВЕТЫ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47" w:type="dxa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360"/>
              </w:tabs>
              <w:spacing w:after="0" w:line="276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208" w:type="dxa"/>
            <w:shd w:val="clear" w:color="auto" w:fill="auto"/>
          </w:tcPr>
          <w:p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ascii="Times New Roman" w:hAnsi="Times New Roman" w:eastAsia="Times New Roman"/>
                <w:kern w:val="0"/>
                <w:sz w:val="24"/>
                <w:szCs w:val="24"/>
                <w:lang w:eastAsia="ru-RU"/>
                <w14:ligatures w14:val="none"/>
              </w:rPr>
              <w:t>Просмотр ЭЖД фиксируется после ввода логина-пароля от Госуслуг? Или после нажатия кнопки «С дневником ознакомлен»? Приложение открывается сразу с сохраненными  данными Госуслуг</w:t>
            </w:r>
            <w:r>
              <w:rPr>
                <w:rFonts w:ascii="Times New Roman" w:hAnsi="Times New Roman" w:eastAsia="Times New Roman"/>
                <w:kern w:val="0"/>
                <w:sz w:val="24"/>
                <w:szCs w:val="24"/>
                <w:lang w:val="en-US" w:eastAsia="ru-RU"/>
                <w14:ligatures w14:val="none"/>
              </w:rPr>
              <w:t>.</w:t>
            </w:r>
          </w:p>
        </w:tc>
        <w:tc>
          <w:tcPr>
            <w:tcW w:w="5363" w:type="dxa"/>
            <w:shd w:val="clear" w:color="auto" w:fill="auto"/>
          </w:tcPr>
          <w:p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Фиксируется вход пользователя (родителя, учащегося), осуществленный с использованием учетных данных.</w:t>
            </w:r>
          </w:p>
          <w:p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Функционал </w:t>
            </w:r>
            <w:r>
              <w:rPr>
                <w:rFonts w:ascii="Times New Roman" w:hAnsi="Times New Roman" w:eastAsia="Times New Roman"/>
                <w:kern w:val="0"/>
                <w:sz w:val="24"/>
                <w:szCs w:val="24"/>
                <w:lang w:eastAsia="ru-RU"/>
                <w14:ligatures w14:val="none"/>
              </w:rPr>
              <w:t>«С дневником ознакомлен» имеет другое назначение в подсистеме, к подсчету активных пользователей отношения не имеет.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47" w:type="dxa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360"/>
              </w:tabs>
              <w:spacing w:after="0" w:line="276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208" w:type="dxa"/>
            <w:shd w:val="clear" w:color="auto" w:fill="auto"/>
          </w:tcPr>
          <w:p>
            <w:pPr>
              <w:pStyle w:val="9"/>
              <w:spacing w:after="0" w:line="276" w:lineRule="auto"/>
              <w:ind w:left="0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/>
                <w:kern w:val="0"/>
                <w:sz w:val="24"/>
                <w:szCs w:val="24"/>
                <w:lang w:eastAsia="ru-RU"/>
                <w14:ligatures w14:val="none"/>
              </w:rPr>
              <w:t>Как муниципалитет может быть лидером, если у учащихся нет ЭД по ВД. Это, по-моему, необъективно.  Тем более расхождения в несколько сотен!</w:t>
            </w:r>
          </w:p>
        </w:tc>
        <w:tc>
          <w:tcPr>
            <w:tcW w:w="5363" w:type="dxa"/>
          </w:tcPr>
          <w:p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 первую очередь даётся информация об ЭД по ВД, которые созданы и заполнены качественно. Разница о количестве учеников и ЭД по ВД – информация, которая даётся дополнительно для анализа, выяснения причин.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47" w:type="dxa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360"/>
              </w:tabs>
              <w:spacing w:after="0" w:line="276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208" w:type="dxa"/>
            <w:shd w:val="clear" w:color="auto" w:fill="auto"/>
          </w:tcPr>
          <w:p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/>
                <w:kern w:val="0"/>
                <w:sz w:val="24"/>
                <w:szCs w:val="24"/>
                <w:lang w:eastAsia="ru-RU"/>
                <w14:ligatures w14:val="none"/>
              </w:rPr>
              <w:t>Объясните, какой должен быть дневник по внеурочной деятельности у детей на семейном обучении? Они приходят в школу на промежуточную аттестацию. Какая должна быть аттестация по внеурочной деятельности?</w:t>
            </w:r>
          </w:p>
        </w:tc>
        <w:tc>
          <w:tcPr>
            <w:tcW w:w="5363" w:type="dxa"/>
          </w:tcPr>
          <w:p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Теоретически ЭД по ВД может быть у ребёнка, находящегося на семейном образовании, так как ученик может посещать занятия по ВД в школе. Всё зависит от того, как составлен договор с родителями.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Возможно, что в договоре прописано, что ВД осуществляется у ребёнка вне школы, тогда ЭД по ВД не заводится.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47" w:type="dxa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360"/>
              </w:tabs>
              <w:spacing w:after="0" w:line="276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208" w:type="dxa"/>
            <w:shd w:val="clear" w:color="auto" w:fill="auto"/>
          </w:tcPr>
          <w:p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/>
                <w:kern w:val="0"/>
                <w:sz w:val="24"/>
                <w:szCs w:val="24"/>
                <w:lang w:eastAsia="ru-RU"/>
                <w14:ligatures w14:val="none"/>
              </w:rPr>
              <w:t>Напомните, как сделать связку ЭПОС со Сферум.</w:t>
            </w:r>
          </w:p>
        </w:tc>
        <w:tc>
          <w:tcPr>
            <w:tcW w:w="5363" w:type="dxa"/>
          </w:tcPr>
          <w:p>
            <w:pPr>
              <w:spacing w:after="0" w:line="276" w:lineRule="auto"/>
              <w:jc w:val="both"/>
              <w:rPr>
                <w:rFonts w:ascii="Times New Roman" w:hAnsi="Times New Roman" w:eastAsia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Рекомендуем ознакомиться с информацией, размещенной в соответствующем блоке на Информационном портале </w:t>
            </w:r>
            <w:r>
              <w:fldChar w:fldCharType="begin"/>
            </w:r>
            <w:r>
              <w:instrText xml:space="preserve"> HYPERLINK "https://clck.ru/3AJtvV"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 w:eastAsia="Times New Roman"/>
                <w:kern w:val="0"/>
                <w:sz w:val="24"/>
                <w:szCs w:val="24"/>
                <w:lang w:val="en-US" w:eastAsia="ru-RU"/>
                <w14:ligatures w14:val="none"/>
              </w:rPr>
              <w:t>https</w:t>
            </w:r>
            <w:r>
              <w:rPr>
                <w:rStyle w:val="5"/>
                <w:rFonts w:ascii="Times New Roman" w:hAnsi="Times New Roman" w:eastAsia="Times New Roman"/>
                <w:kern w:val="0"/>
                <w:sz w:val="24"/>
                <w:szCs w:val="24"/>
                <w:lang w:eastAsia="ru-RU"/>
                <w14:ligatures w14:val="none"/>
              </w:rPr>
              <w:t>://</w:t>
            </w:r>
            <w:r>
              <w:rPr>
                <w:rStyle w:val="5"/>
                <w:rFonts w:ascii="Times New Roman" w:hAnsi="Times New Roman" w:eastAsia="Times New Roman"/>
                <w:kern w:val="0"/>
                <w:sz w:val="24"/>
                <w:szCs w:val="24"/>
                <w:lang w:val="en-US" w:eastAsia="ru-RU"/>
                <w14:ligatures w14:val="none"/>
              </w:rPr>
              <w:t>clck</w:t>
            </w:r>
            <w:r>
              <w:rPr>
                <w:rStyle w:val="5"/>
                <w:rFonts w:ascii="Times New Roman" w:hAnsi="Times New Roman" w:eastAsia="Times New Roman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>
              <w:rPr>
                <w:rStyle w:val="5"/>
                <w:rFonts w:ascii="Times New Roman" w:hAnsi="Times New Roman" w:eastAsia="Times New Roman"/>
                <w:kern w:val="0"/>
                <w:sz w:val="24"/>
                <w:szCs w:val="24"/>
                <w:lang w:val="en-US" w:eastAsia="ru-RU"/>
                <w14:ligatures w14:val="none"/>
              </w:rPr>
              <w:t>ru</w:t>
            </w:r>
            <w:r>
              <w:rPr>
                <w:rStyle w:val="5"/>
                <w:rFonts w:ascii="Times New Roman" w:hAnsi="Times New Roman" w:eastAsia="Times New Roman"/>
                <w:kern w:val="0"/>
                <w:sz w:val="24"/>
                <w:szCs w:val="24"/>
                <w:lang w:eastAsia="ru-RU"/>
                <w14:ligatures w14:val="none"/>
              </w:rPr>
              <w:t>/3</w:t>
            </w:r>
            <w:r>
              <w:rPr>
                <w:rStyle w:val="5"/>
                <w:rFonts w:ascii="Times New Roman" w:hAnsi="Times New Roman" w:eastAsia="Times New Roman"/>
                <w:kern w:val="0"/>
                <w:sz w:val="24"/>
                <w:szCs w:val="24"/>
                <w:lang w:val="en-US" w:eastAsia="ru-RU"/>
                <w14:ligatures w14:val="none"/>
              </w:rPr>
              <w:t>AJtvV</w:t>
            </w:r>
            <w:r>
              <w:rPr>
                <w:rStyle w:val="5"/>
                <w:rFonts w:ascii="Times New Roman" w:hAnsi="Times New Roman" w:eastAsia="Times New Roman"/>
                <w:kern w:val="0"/>
                <w:sz w:val="24"/>
                <w:szCs w:val="24"/>
                <w:lang w:val="en-US" w:eastAsia="ru-RU"/>
                <w14:ligatures w14:val="none"/>
              </w:rPr>
              <w:fldChar w:fldCharType="end"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47" w:type="dxa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360"/>
              </w:tabs>
              <w:spacing w:after="0" w:line="276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208" w:type="dxa"/>
            <w:shd w:val="clear" w:color="auto" w:fill="auto"/>
          </w:tcPr>
          <w:p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/>
                <w:kern w:val="0"/>
                <w:sz w:val="24"/>
                <w:szCs w:val="24"/>
                <w:lang w:eastAsia="ru-RU"/>
                <w14:ligatures w14:val="none"/>
              </w:rPr>
              <w:t>А можно ли в АиО увидеть отчет по количеству педагогов, которые не связали ЭПОС и Сферум?</w:t>
            </w:r>
          </w:p>
        </w:tc>
        <w:tc>
          <w:tcPr>
            <w:tcW w:w="5363" w:type="dxa"/>
          </w:tcPr>
          <w:p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В настоящее время такой отчёт не предусмотрен в АиО. Разработан региональный дашборд, который позволит видеть данные по количеству связавших учебный профиль Сферум с ЭПОС.СПО.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47" w:type="dxa"/>
          </w:tcPr>
          <w:p>
            <w:pPr>
              <w:pStyle w:val="9"/>
              <w:numPr>
                <w:ilvl w:val="0"/>
                <w:numId w:val="1"/>
              </w:numPr>
              <w:tabs>
                <w:tab w:val="left" w:pos="360"/>
              </w:tabs>
              <w:spacing w:after="0" w:line="276" w:lineRule="auto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208" w:type="dxa"/>
            <w:shd w:val="clear" w:color="auto" w:fill="auto"/>
          </w:tcPr>
          <w:p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hAnsi="Times New Roman" w:eastAsia="Times New Roman"/>
                <w:kern w:val="0"/>
                <w:sz w:val="24"/>
                <w:szCs w:val="24"/>
                <w:lang w:eastAsia="ru-RU"/>
                <w14:ligatures w14:val="none"/>
              </w:rPr>
              <w:t>Предложение: в АиО сделать отчет по ФИО и классу учащихся и родителей, связавшим ЭПОС и Сферум.</w:t>
            </w:r>
          </w:p>
        </w:tc>
        <w:tc>
          <w:tcPr>
            <w:tcW w:w="5363" w:type="dxa"/>
          </w:tcPr>
          <w:p>
            <w:pPr>
              <w:spacing w:after="0" w:line="276" w:lineRule="auto"/>
              <w:jc w:val="both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Будет</w:t>
            </w:r>
            <w:r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  <w:t xml:space="preserve"> рассмотрено.</w:t>
            </w:r>
          </w:p>
        </w:tc>
      </w:tr>
    </w:tbl>
    <w:p>
      <w:pPr>
        <w:rPr>
          <w:sz w:val="24"/>
          <w:szCs w:val="24"/>
        </w:rPr>
      </w:pPr>
    </w:p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A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304DBC"/>
    <w:multiLevelType w:val="multilevel"/>
    <w:tmpl w:val="08304DBC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98F"/>
    <w:rsid w:val="000407B5"/>
    <w:rsid w:val="0007250C"/>
    <w:rsid w:val="00080007"/>
    <w:rsid w:val="000D3072"/>
    <w:rsid w:val="00122CBE"/>
    <w:rsid w:val="0012640C"/>
    <w:rsid w:val="00164FD4"/>
    <w:rsid w:val="001F098F"/>
    <w:rsid w:val="00220690"/>
    <w:rsid w:val="002A5DF9"/>
    <w:rsid w:val="004A7CA4"/>
    <w:rsid w:val="004E7CF8"/>
    <w:rsid w:val="005F0C15"/>
    <w:rsid w:val="00602FDA"/>
    <w:rsid w:val="00620CBD"/>
    <w:rsid w:val="00666A80"/>
    <w:rsid w:val="00666DA8"/>
    <w:rsid w:val="006A35A3"/>
    <w:rsid w:val="006A3F6E"/>
    <w:rsid w:val="006D09D2"/>
    <w:rsid w:val="0070060E"/>
    <w:rsid w:val="00706A04"/>
    <w:rsid w:val="007306A3"/>
    <w:rsid w:val="00730EEB"/>
    <w:rsid w:val="007367A3"/>
    <w:rsid w:val="007A7E95"/>
    <w:rsid w:val="00811B7A"/>
    <w:rsid w:val="00815F7E"/>
    <w:rsid w:val="0085044F"/>
    <w:rsid w:val="00874FCB"/>
    <w:rsid w:val="008E64CC"/>
    <w:rsid w:val="008F63ED"/>
    <w:rsid w:val="009415EE"/>
    <w:rsid w:val="009505B3"/>
    <w:rsid w:val="009544DD"/>
    <w:rsid w:val="0096700F"/>
    <w:rsid w:val="00967179"/>
    <w:rsid w:val="00992612"/>
    <w:rsid w:val="00A94AF7"/>
    <w:rsid w:val="00AA68F3"/>
    <w:rsid w:val="00AE6940"/>
    <w:rsid w:val="00B06124"/>
    <w:rsid w:val="00B1243D"/>
    <w:rsid w:val="00B27F6D"/>
    <w:rsid w:val="00B42098"/>
    <w:rsid w:val="00B503C6"/>
    <w:rsid w:val="00BB436B"/>
    <w:rsid w:val="00BF72D2"/>
    <w:rsid w:val="00C36E0D"/>
    <w:rsid w:val="00CB5192"/>
    <w:rsid w:val="00CD43C6"/>
    <w:rsid w:val="00D17437"/>
    <w:rsid w:val="00D3537F"/>
    <w:rsid w:val="00D5336D"/>
    <w:rsid w:val="00DA26F4"/>
    <w:rsid w:val="00E36084"/>
    <w:rsid w:val="00E5537C"/>
    <w:rsid w:val="00EF59FC"/>
    <w:rsid w:val="00F27F18"/>
    <w:rsid w:val="00F36F21"/>
    <w:rsid w:val="00FB27C8"/>
    <w:rsid w:val="00FB791C"/>
    <w:rsid w:val="00FF6EE9"/>
    <w:rsid w:val="68404CAB"/>
    <w:rsid w:val="7142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ru-RU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semiHidden/>
    <w:unhideWhenUsed/>
    <w:uiPriority w:val="99"/>
    <w:rPr>
      <w:color w:val="954F72"/>
      <w:u w:val="single"/>
    </w:rPr>
  </w:style>
  <w:style w:type="character" w:styleId="5">
    <w:name w:val="Hyperlink"/>
    <w:basedOn w:val="2"/>
    <w:unhideWhenUsed/>
    <w:uiPriority w:val="99"/>
    <w:rPr>
      <w:color w:val="0563C1"/>
      <w:u w:val="single"/>
    </w:rPr>
  </w:style>
  <w:style w:type="paragraph" w:customStyle="1" w:styleId="6">
    <w:name w:val="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7">
    <w:name w:val="xl65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8">
    <w:name w:val="Неразрешенное упоминание1"/>
    <w:basedOn w:val="2"/>
    <w:semiHidden/>
    <w:unhideWhenUsed/>
    <w:qFormat/>
    <w:uiPriority w:val="99"/>
    <w:rPr>
      <w:color w:val="605E5C"/>
      <w:shd w:val="clear" w:color="auto" w:fill="E1DFDD"/>
    </w:r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Unresolved Mention"/>
    <w:basedOn w:val="2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АО 'Уралоргсинтез'</Company>
  <Pages>1</Pages>
  <Words>285</Words>
  <Characters>1628</Characters>
  <Lines>13</Lines>
  <Paragraphs>3</Paragraphs>
  <TotalTime>1</TotalTime>
  <ScaleCrop>false</ScaleCrop>
  <LinksUpToDate>false</LinksUpToDate>
  <CharactersWithSpaces>1910</CharactersWithSpaces>
  <Application>WPS Office_12.2.0.13215_F1E327BC-269C-435d-A152-05C5408002CA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2024-04-26T10:43:00Z</dcterms:created>
  <dc:creator>Захарова Наталья Николаевна</dc:creator>
  <cp:lastModifiedBy>aogarajii</cp:lastModifiedBy>
  <dcterms:modified xsi:type="dcterms:W3CDTF">2024-04-26T11:26:15Z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FFDB5DCD22AE4541B33885ACD9CD904B_13</vt:lpwstr>
  </property>
</Properties>
</file>